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年南方科技大学深港微电子学院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研究生学业奖学金评审工作细则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一、指导思想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坚持公平、公正、公开的原则，对学生德智体美劳等素质全面衡量，择优选拔。对学生平时和科研能力综合测评的基础上，突出对学生创新精神、创新能力和公共服务活动等的考查。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二、组织管理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深港微电子学院研究生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学业奖学金评审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委员会</w:t>
      </w:r>
      <w:r>
        <w:rPr>
          <w:rFonts w:hint="eastAsia" w:ascii="仿宋" w:hAnsi="仿宋" w:eastAsia="仿宋"/>
          <w:sz w:val="32"/>
          <w:szCs w:val="32"/>
        </w:rPr>
        <w:t>，人员组成如下：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委员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陈凯、余浩、刘晓光、祝渊、李毅、高源、陈全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潘权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三、选拔办法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（一）申请对象：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2023级</w:t>
      </w:r>
      <w:r>
        <w:rPr>
          <w:rFonts w:hint="eastAsia" w:ascii="仿宋" w:hAnsi="仿宋" w:eastAsia="仿宋"/>
          <w:sz w:val="32"/>
          <w:szCs w:val="32"/>
        </w:rPr>
        <w:t>在籍研究生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（二）排名方式：综合成绩排名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（三）成绩组成：专业 GPA（占</w:t>
      </w:r>
      <w:r>
        <w:rPr>
          <w:rFonts w:ascii="仿宋" w:hAnsi="仿宋" w:eastAsia="仿宋"/>
          <w:b/>
          <w:sz w:val="32"/>
          <w:szCs w:val="32"/>
          <w:highlight w:val="none"/>
        </w:rPr>
        <w:t>4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0%）、科研成果及竞赛（占</w:t>
      </w:r>
      <w:r>
        <w:rPr>
          <w:rFonts w:ascii="仿宋" w:hAnsi="仿宋" w:eastAsia="仿宋"/>
          <w:b/>
          <w:sz w:val="32"/>
          <w:szCs w:val="32"/>
          <w:highlight w:val="none"/>
        </w:rPr>
        <w:t>4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0%）、德育及公共服务（占</w:t>
      </w:r>
      <w:r>
        <w:rPr>
          <w:rFonts w:ascii="仿宋" w:hAnsi="仿宋" w:eastAsia="仿宋"/>
          <w:b/>
          <w:sz w:val="32"/>
          <w:szCs w:val="32"/>
          <w:highlight w:val="none"/>
        </w:rPr>
        <w:t>10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%）、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学业奖学金评审委员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评定（占1</w:t>
      </w:r>
      <w:r>
        <w:rPr>
          <w:rFonts w:ascii="仿宋" w:hAnsi="仿宋" w:eastAsia="仿宋"/>
          <w:b/>
          <w:sz w:val="32"/>
          <w:szCs w:val="32"/>
          <w:highlight w:val="none"/>
        </w:rPr>
        <w:t>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%）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（四）综合成绩 =</w:t>
      </w:r>
      <w:r>
        <w:rPr>
          <w:rFonts w:ascii="仿宋" w:hAnsi="仿宋" w:eastAsia="仿宋"/>
          <w:b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专业GPA/4*</w:t>
      </w:r>
      <w:r>
        <w:rPr>
          <w:rFonts w:ascii="仿宋" w:hAnsi="仿宋" w:eastAsia="仿宋"/>
          <w:b/>
          <w:sz w:val="32"/>
          <w:szCs w:val="32"/>
          <w:highlight w:val="none"/>
        </w:rPr>
        <w:t>100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*</w:t>
      </w:r>
      <w:r>
        <w:rPr>
          <w:rFonts w:ascii="仿宋" w:hAnsi="仿宋" w:eastAsia="仿宋"/>
          <w:b/>
          <w:sz w:val="32"/>
          <w:szCs w:val="32"/>
          <w:highlight w:val="none"/>
        </w:rPr>
        <w:t>4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0%+科研成果及竞赛*</w:t>
      </w:r>
      <w:r>
        <w:rPr>
          <w:rFonts w:ascii="仿宋" w:hAnsi="仿宋" w:eastAsia="仿宋"/>
          <w:b/>
          <w:sz w:val="32"/>
          <w:szCs w:val="32"/>
          <w:highlight w:val="none"/>
        </w:rPr>
        <w:t>40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%+德育及公共服务*</w:t>
      </w:r>
      <w:r>
        <w:rPr>
          <w:rFonts w:ascii="仿宋" w:hAnsi="仿宋" w:eastAsia="仿宋"/>
          <w:b/>
          <w:sz w:val="32"/>
          <w:szCs w:val="32"/>
          <w:highlight w:val="none"/>
        </w:rPr>
        <w:t>10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%+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学业奖学金评选委员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评定*</w:t>
      </w:r>
      <w:r>
        <w:rPr>
          <w:rFonts w:ascii="仿宋" w:hAnsi="仿宋" w:eastAsia="仿宋"/>
          <w:b/>
          <w:sz w:val="32"/>
          <w:szCs w:val="32"/>
          <w:highlight w:val="none"/>
        </w:rPr>
        <w:t>10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%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（五）积分细则</w:t>
      </w:r>
      <w:r>
        <w:rPr>
          <w:rFonts w:ascii="仿宋" w:hAnsi="仿宋" w:eastAsia="仿宋"/>
          <w:sz w:val="32"/>
          <w:szCs w:val="32"/>
        </w:rPr>
        <w:t>见附件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1、科研成果及竞赛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由学生的学术论文、专利、学科竞赛获奖、科研项目等成果认定，</w:t>
      </w:r>
      <w:r>
        <w:rPr>
          <w:rFonts w:hint="eastAsia" w:ascii="仿宋" w:hAnsi="仿宋" w:eastAsia="仿宋"/>
          <w:sz w:val="32"/>
          <w:szCs w:val="32"/>
          <w:highlight w:val="none"/>
        </w:rPr>
        <w:t>不超过10</w:t>
      </w:r>
      <w:r>
        <w:rPr>
          <w:rFonts w:ascii="仿宋" w:hAnsi="仿宋" w:eastAsia="仿宋"/>
          <w:sz w:val="32"/>
          <w:szCs w:val="32"/>
          <w:highlight w:val="non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</w:rPr>
        <w:t>分</w:t>
      </w:r>
      <w:r>
        <w:rPr>
          <w:rFonts w:hint="eastAsia" w:ascii="仿宋" w:hAnsi="仿宋" w:eastAsia="仿宋"/>
          <w:sz w:val="32"/>
          <w:szCs w:val="32"/>
        </w:rPr>
        <w:t>。包含但不限于以下：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（1）在同行评估的学术期刊上发表学术论文；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）参加国际或国内学术会议，论文接收，并在会议上 做口头报告或海报展出；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）获得校级以上级别学科竞赛奖项，包括但不限于全国大学生电子设计大赛、全国大学生集成电路创新创业大赛、FPGA 设计大赛等；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）取得校级及以上级别科研项目，包括但不限于： “大学生创新创业训练计划项目”“广东省攀登计划”等；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（5）申请国内或国外专利。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）获得非微电子学科类各项比赛，为学校、学院争得荣誉的给予积分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、德育及公共服务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鼓励学生参与学院各项学生活动，对于在各级学生会、团委、党组织、社团等任职服务给予积分。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对于受到</w:t>
      </w:r>
      <w:r>
        <w:rPr>
          <w:rFonts w:ascii="仿宋" w:hAnsi="仿宋" w:eastAsia="仿宋"/>
          <w:sz w:val="32"/>
          <w:szCs w:val="32"/>
        </w:rPr>
        <w:t>违纪处分的同学，学院</w:t>
      </w:r>
      <w:r>
        <w:rPr>
          <w:rFonts w:hint="eastAsia" w:ascii="仿宋" w:hAnsi="仿宋" w:eastAsia="仿宋"/>
          <w:sz w:val="32"/>
          <w:szCs w:val="32"/>
        </w:rPr>
        <w:t>将依据违纪程度做</w:t>
      </w:r>
      <w:r>
        <w:rPr>
          <w:rFonts w:ascii="仿宋" w:hAnsi="仿宋" w:eastAsia="仿宋"/>
          <w:sz w:val="32"/>
          <w:szCs w:val="32"/>
        </w:rPr>
        <w:t>扣分</w:t>
      </w:r>
      <w:r>
        <w:rPr>
          <w:rFonts w:hint="eastAsia" w:ascii="仿宋" w:hAnsi="仿宋" w:eastAsia="仿宋"/>
          <w:sz w:val="32"/>
          <w:szCs w:val="32"/>
        </w:rPr>
        <w:t>、取消资格等处理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五、如有本办法未能涵盖的细节，由学院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学业奖学金评审委员会</w:t>
      </w:r>
      <w:r>
        <w:rPr>
          <w:rFonts w:hint="eastAsia" w:ascii="仿宋" w:hAnsi="仿宋" w:eastAsia="仿宋"/>
          <w:sz w:val="32"/>
          <w:szCs w:val="32"/>
        </w:rPr>
        <w:t>一事一议。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28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表1：</w:t>
      </w:r>
      <w:r>
        <w:rPr>
          <w:rFonts w:ascii="仿宋" w:hAnsi="仿宋" w:eastAsia="仿宋"/>
          <w:sz w:val="28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sz w:val="28"/>
          <w:szCs w:val="32"/>
          <w:highlight w:val="none"/>
        </w:rPr>
        <w:t>科研成果及竞赛积分规则（上限1</w:t>
      </w:r>
      <w:r>
        <w:rPr>
          <w:rFonts w:ascii="仿宋" w:hAnsi="仿宋" w:eastAsia="仿宋"/>
          <w:sz w:val="28"/>
          <w:szCs w:val="32"/>
          <w:highlight w:val="none"/>
        </w:rPr>
        <w:t>00</w:t>
      </w:r>
      <w:r>
        <w:rPr>
          <w:rFonts w:hint="eastAsia" w:ascii="仿宋" w:hAnsi="仿宋" w:eastAsia="仿宋"/>
          <w:sz w:val="28"/>
          <w:szCs w:val="32"/>
          <w:highlight w:val="none"/>
        </w:rPr>
        <w:t>分</w:t>
      </w:r>
      <w:r>
        <w:rPr>
          <w:rFonts w:hint="eastAsia" w:ascii="仿宋" w:hAnsi="仿宋" w:eastAsia="仿宋"/>
          <w:sz w:val="28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32"/>
          <w:highlight w:val="none"/>
          <w:lang w:val="en-US" w:eastAsia="zh-CN"/>
        </w:rPr>
        <w:t>同级别论文类型或比赛获得取得多次成果的，只计分1次</w:t>
      </w:r>
      <w:r>
        <w:rPr>
          <w:rFonts w:hint="eastAsia" w:ascii="仿宋" w:hAnsi="仿宋" w:eastAsia="仿宋"/>
          <w:sz w:val="28"/>
          <w:szCs w:val="32"/>
          <w:highlight w:val="none"/>
        </w:rPr>
        <w:t>）</w:t>
      </w:r>
    </w:p>
    <w:tbl>
      <w:tblPr>
        <w:tblStyle w:val="4"/>
        <w:tblW w:w="94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3024"/>
        <w:gridCol w:w="3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论文类型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（单项满分）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折算系数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顶级学术期刊（如Science, Nature及其子刊，PNAS等）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60分</w:t>
            </w:r>
          </w:p>
        </w:tc>
        <w:tc>
          <w:tcPr>
            <w:tcW w:w="3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(1)学生为第一作者或通讯；导师第一学生第二作者:1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(2)共同一作:0.8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(3)二作：0.5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(4)其他0.2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JCR一区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JCR二区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其他期刊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顶级会议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60分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一类会议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其他会议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授权发明专利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申请发明专利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授权实用新型专利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30分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比赛级别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344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折算系数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（单项满分）</w:t>
            </w:r>
          </w:p>
        </w:tc>
        <w:tc>
          <w:tcPr>
            <w:tcW w:w="34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40分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(1)最高级别1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30分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(2)每降低一级，系数减小0.2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省市级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(3)最低为0.2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(4)排名第一：1 其他0.8</w:t>
            </w:r>
          </w:p>
        </w:tc>
      </w:tr>
    </w:tbl>
    <w:p>
      <w:pPr>
        <w:rPr>
          <w:rFonts w:ascii="仿宋" w:hAnsi="仿宋" w:eastAsia="仿宋"/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表</w:t>
      </w:r>
      <w:r>
        <w:rPr>
          <w:rFonts w:ascii="仿宋" w:hAnsi="仿宋" w:eastAsia="仿宋"/>
          <w:sz w:val="28"/>
          <w:szCs w:val="32"/>
          <w:highlight w:val="none"/>
        </w:rPr>
        <w:t>2</w:t>
      </w:r>
      <w:r>
        <w:rPr>
          <w:rFonts w:hint="eastAsia" w:ascii="仿宋" w:hAnsi="仿宋" w:eastAsia="仿宋"/>
          <w:sz w:val="28"/>
          <w:szCs w:val="32"/>
          <w:highlight w:val="none"/>
        </w:rPr>
        <w:t>：</w:t>
      </w:r>
      <w:r>
        <w:rPr>
          <w:rFonts w:ascii="仿宋" w:hAnsi="仿宋" w:eastAsia="仿宋"/>
          <w:sz w:val="28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sz w:val="28"/>
          <w:szCs w:val="32"/>
          <w:highlight w:val="none"/>
        </w:rPr>
        <w:t>德育及公共服务（上限1</w:t>
      </w:r>
      <w:r>
        <w:rPr>
          <w:rFonts w:ascii="仿宋" w:hAnsi="仿宋" w:eastAsia="仿宋"/>
          <w:sz w:val="28"/>
          <w:szCs w:val="32"/>
          <w:highlight w:val="none"/>
        </w:rPr>
        <w:t>00</w:t>
      </w:r>
      <w:r>
        <w:rPr>
          <w:rFonts w:hint="eastAsia" w:ascii="仿宋" w:hAnsi="仿宋" w:eastAsia="仿宋"/>
          <w:sz w:val="28"/>
          <w:szCs w:val="32"/>
          <w:highlight w:val="none"/>
        </w:rPr>
        <w:t>分）</w:t>
      </w:r>
    </w:p>
    <w:tbl>
      <w:tblPr>
        <w:tblStyle w:val="4"/>
        <w:tblW w:w="7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德育及公共服务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（单项满分）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思想政治觉悟高，爱党爱国，诚实守信，道德品质优良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市及以上（学联、团委等）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校（学生会、团委、学生党组织）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学院（班长，其他班干部）、学生社团）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志愿者活动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28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表</w:t>
      </w:r>
      <w:r>
        <w:rPr>
          <w:rFonts w:ascii="仿宋" w:hAnsi="仿宋" w:eastAsia="仿宋"/>
          <w:sz w:val="28"/>
          <w:szCs w:val="32"/>
          <w:highlight w:val="none"/>
        </w:rPr>
        <w:t>3</w:t>
      </w:r>
      <w:r>
        <w:rPr>
          <w:rFonts w:hint="eastAsia" w:ascii="仿宋" w:hAnsi="仿宋" w:eastAsia="仿宋"/>
          <w:sz w:val="28"/>
          <w:szCs w:val="32"/>
          <w:highlight w:val="none"/>
        </w:rPr>
        <w:t>：会议类别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6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restart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顶级会议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（包括但不限于）</w:t>
            </w: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ISSCC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IEEE International Solid-State Circuits Conference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IEDM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IEEE International Electron Devices Meeting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一类会议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（包括但不限于）</w:t>
            </w: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VLSI Symp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Symposia on VLSI Technology and Circuits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CICC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IEEE Custom Integrated Circuits Conference 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DAC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ACM/IEEE Design Automation Conference 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ESSCIRC/ESSDERC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European Solid-State Circuits Conference/European Solid-State Device Research  Conference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ASSCC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IEEE Asian Solid-State Circuits Conference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RFIC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Radio Frequency Integrated Circuits Symposium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ICCAD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IEEE/ACM International Conference on Computer Aided Design 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Design, Automation and Test in Europe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IEEE MEMS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IEEE International Conference on Micro Electro Mechanical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MicroTAS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International Conference on Miniaturized Systems for Chemistry and Life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vMerge w:val="continue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IMS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International Microwave Symposium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6521" w:type="dxa"/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nips cpvr icml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（注：以上所有资料截止时间均为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2022年9月）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MGQwNzk0YzM1ZjFmZDcyMGUyZjMxZjBhYzc4NDgifQ=="/>
  </w:docVars>
  <w:rsids>
    <w:rsidRoot w:val="00160F43"/>
    <w:rsid w:val="00027289"/>
    <w:rsid w:val="00032129"/>
    <w:rsid w:val="00071394"/>
    <w:rsid w:val="00101A29"/>
    <w:rsid w:val="001125FC"/>
    <w:rsid w:val="00160F43"/>
    <w:rsid w:val="00170617"/>
    <w:rsid w:val="00172D0C"/>
    <w:rsid w:val="00177796"/>
    <w:rsid w:val="00195F93"/>
    <w:rsid w:val="0025095E"/>
    <w:rsid w:val="002B3F6C"/>
    <w:rsid w:val="002D3366"/>
    <w:rsid w:val="003146C6"/>
    <w:rsid w:val="00317AE1"/>
    <w:rsid w:val="00356CCC"/>
    <w:rsid w:val="00376758"/>
    <w:rsid w:val="003E225B"/>
    <w:rsid w:val="003E734B"/>
    <w:rsid w:val="00433FB7"/>
    <w:rsid w:val="00442CC2"/>
    <w:rsid w:val="004621E7"/>
    <w:rsid w:val="004632EE"/>
    <w:rsid w:val="00475760"/>
    <w:rsid w:val="004A20AA"/>
    <w:rsid w:val="004B0DBF"/>
    <w:rsid w:val="00596310"/>
    <w:rsid w:val="005A1773"/>
    <w:rsid w:val="005E60EB"/>
    <w:rsid w:val="00611AA8"/>
    <w:rsid w:val="006273FC"/>
    <w:rsid w:val="00651919"/>
    <w:rsid w:val="006D34E0"/>
    <w:rsid w:val="007D3008"/>
    <w:rsid w:val="007F61CF"/>
    <w:rsid w:val="008021F4"/>
    <w:rsid w:val="00803B45"/>
    <w:rsid w:val="00892280"/>
    <w:rsid w:val="00984A42"/>
    <w:rsid w:val="009D2F1D"/>
    <w:rsid w:val="00A21FBC"/>
    <w:rsid w:val="00AD045C"/>
    <w:rsid w:val="00AF5784"/>
    <w:rsid w:val="00B579FA"/>
    <w:rsid w:val="00B70186"/>
    <w:rsid w:val="00BF5E3E"/>
    <w:rsid w:val="00C07C1F"/>
    <w:rsid w:val="00C140D9"/>
    <w:rsid w:val="00C859CF"/>
    <w:rsid w:val="00D12A89"/>
    <w:rsid w:val="00D47CA8"/>
    <w:rsid w:val="00DA0756"/>
    <w:rsid w:val="00DA79DD"/>
    <w:rsid w:val="00E037BF"/>
    <w:rsid w:val="00E62D11"/>
    <w:rsid w:val="00EF10AD"/>
    <w:rsid w:val="00EF319B"/>
    <w:rsid w:val="00F57F8B"/>
    <w:rsid w:val="00F63666"/>
    <w:rsid w:val="00F7422B"/>
    <w:rsid w:val="00FA31E0"/>
    <w:rsid w:val="00FB27AF"/>
    <w:rsid w:val="061D42A2"/>
    <w:rsid w:val="614A0334"/>
    <w:rsid w:val="61F33627"/>
    <w:rsid w:val="63981B42"/>
    <w:rsid w:val="70B86135"/>
    <w:rsid w:val="766433EB"/>
    <w:rsid w:val="784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317</Words>
  <Characters>1810</Characters>
  <Lines>15</Lines>
  <Paragraphs>4</Paragraphs>
  <TotalTime>66</TotalTime>
  <ScaleCrop>false</ScaleCrop>
  <LinksUpToDate>false</LinksUpToDate>
  <CharactersWithSpaces>2123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2021-09-16T03:31:00Z</dcterms:created>
  <dc:creator>Wenjing CHEN</dc:creator>
  <cp:lastModifiedBy>小团子</cp:lastModifiedBy>
  <cp:lastPrinted>2021-06-02T12:40:00Z</cp:lastPrinted>
  <dcterms:modified xsi:type="dcterms:W3CDTF">2023-10-17T01:45:33Z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9B221401FDA540A287F451B94A56066B_13</vt:lpwstr>
  </property>
</Properties>
</file>